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18"/>
          <w:szCs w:val="18"/>
        </w:rPr>
      </w:pPr>
      <w:r w:rsidRPr="002D4DC5">
        <w:rPr>
          <w:rFonts w:ascii="Arial" w:eastAsia="Times New Roman" w:hAnsi="Arial" w:cs="Arial"/>
          <w:noProof/>
          <w:color w:val="663399"/>
          <w:sz w:val="18"/>
          <w:szCs w:val="18"/>
        </w:rPr>
        <w:drawing>
          <wp:inline distT="0" distB="0" distL="0" distR="0" wp14:anchorId="17CE61A6" wp14:editId="786647F3">
            <wp:extent cx="2194560" cy="731520"/>
            <wp:effectExtent l="0" t="0" r="0" b="0"/>
            <wp:docPr id="1" name="Picture 1" descr="Research journal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arch journal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DC5" w:rsidRPr="002D4DC5" w:rsidRDefault="002D4DC5" w:rsidP="002D4DC5">
      <w:pPr>
        <w:jc w:val="left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2D4DC5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Safety of </w:t>
      </w:r>
      <w:proofErr w:type="spellStart"/>
      <w:r w:rsidRPr="002D4DC5">
        <w:rPr>
          <w:rFonts w:ascii="Arial" w:eastAsia="Times New Roman" w:hAnsi="Arial" w:cs="Arial"/>
          <w:b/>
          <w:bCs/>
          <w:color w:val="333333"/>
          <w:sz w:val="30"/>
          <w:szCs w:val="30"/>
        </w:rPr>
        <w:t>Pretarsal</w:t>
      </w:r>
      <w:proofErr w:type="spellEnd"/>
      <w:r w:rsidRPr="002D4DC5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Botulinum Toxin for Blepharospasm Associated Pseudo-apraxia: Is Ptosis a Real Concern?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>James B Hsueh</w:t>
      </w:r>
      <w:r w:rsidRPr="002D4DC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1, 2</w: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>, John R Burroughs</w:t>
      </w:r>
      <w:r w:rsidRPr="002D4DC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</w: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 (john at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drjohnburroughs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dot com) #, Charles NS Soparkar</w:t>
      </w:r>
      <w:r w:rsidRPr="002D4DC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3</w: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>, John D McCann</w:t>
      </w:r>
      <w:r w:rsidRPr="002D4DC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4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> John R Burroughs M.D., P.C., 111 E Polk Street, Colorado Springs, CO, USA. 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> Midwestern University Physician Assistant Program, Glendale, AZ, USA. </w:t>
      </w:r>
      <w:r w:rsidRPr="002D4DC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3</w: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> Plastic Eye Surgery Associates, PLLC; Departments of Plastic Surgery/Head &amp; Neck Surgery, M.D. Anderson Cancer Center; Department of Ophthalmology, Baylor College of Medicine; Department of Ophthalmology, Weill-Cornell Medical College, Houston, Texas, USA. </w:t>
      </w:r>
      <w:r w:rsidRPr="002D4DC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4</w: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> The Center for Facial Appearances, Sandy, UT, USA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# :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corresponding author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DOI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>http://dx.doi.org/10.13070/rs.en.2.1390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Date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>2015-03-23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Cite as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>Research 2015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;2:1390</w:t>
      </w:r>
      <w:proofErr w:type="gramEnd"/>
    </w:p>
    <w:p w:rsidR="002D4DC5" w:rsidRPr="002D4DC5" w:rsidRDefault="002D4DC5" w:rsidP="002D4DC5">
      <w:pPr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License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hyperlink r:id="rId7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CC-BY</w:t>
        </w:r>
      </w:hyperlink>
    </w:p>
    <w:p w:rsidR="002D4DC5" w:rsidRPr="002D4DC5" w:rsidRDefault="002D4DC5" w:rsidP="002D4DC5">
      <w:pPr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Abstract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Pseudo-apraxia of eyelid opening can cause severe visual debilitation. In the current study, the safety (e.g.,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incidence)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botulinum toxin type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 for the treatment of pseudo-apraxia of eyelid opening was evaluated. A 62-month retrospective chart review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was performed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. Sixty-one patients, 13 from John R Burroughs M.D., P.C., 48 from Plastic Eye Surgery Associates, PLLC, received botulinum toxin type A injection treatments to address either isolated pseudo-apraxia of eyelid opening (6 patients) or pseudo-apraxia of eyelid opening combined with spastic benign essential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(55 patients).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 total of 634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 treatments, with an average of 5.2 units (range 1.25-15 units) of botulinum toxin type A per eyelid, were administered to the upper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orbicularis. All patients exhibited improvement of their pseudo-apraxia of eyelid opening.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was seen in only 6/634 (0.95%) injection treatments, and there were no incidences of diplopia, suggesting that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orbicularis oculi Botulinum toxin type A injections are a safe and effective treatment for pseudo-apraxia of eyelid opening.</w:t>
      </w:r>
    </w:p>
    <w:p w:rsidR="002D4DC5" w:rsidRPr="002D4DC5" w:rsidRDefault="002D4DC5" w:rsidP="002D4DC5">
      <w:pPr>
        <w:spacing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Introduction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Benign Essential Blepharospasm (BEB), an incompletely understood disorder characterized by the involuntary and often episodic contraction of periocular muscles, causes the eyelids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to spontaneously close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>. Untreated, BEB often results in functional legal blindness [</w:t>
      </w:r>
      <w:hyperlink r:id="rId8" w:anchor="ref1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1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]. There are two basic variants of BEB: 1) spastic BEB (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) includes involvement of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preseptal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and orbital orbicularis, inducing forceful clenching closure of the eyelids; and 2) pseudo-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apraxic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BEB (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) which involves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orbicularis oculi (PTO), the portion of the orbicularis responsible for normal eyelid blinking. The </w: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clinical appearance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is an eyelid that simply will not open. There is no visible forceful clenching of the eyes, and thus initially this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was felt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to be a form of apraxia of eyelid opening, or a dysfunction of the neuronal signal to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levator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palpebrae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superioris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muscle. However, close inspection and neuromuscular studies reveal that patients with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suffer continued contraction of the PTO, which is stronger than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levator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palbeprae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superioris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, and so the eyelids stay closed, creating a pseudo-apraxia of eyelid opening [</w:t>
      </w:r>
      <w:hyperlink r:id="rId9" w:anchor="ref2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2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-</w:t>
      </w:r>
      <w:hyperlink r:id="rId10" w:anchor="ref5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5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]. Botulinum toxin (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) injections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have been shown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to be highly effective and the treatment of choice for most persons afflicted with BEB [</w:t>
      </w:r>
      <w:hyperlink r:id="rId11" w:anchor="ref1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1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, </w:t>
      </w:r>
      <w:hyperlink r:id="rId12" w:anchor="ref2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2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]. However, since the causes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and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differ, it should not be surprising that the most effective locations and doses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 should differ as well.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In particular, we have felt that injections across the PTO are most efficacious for patients with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; unfortunately, some have suggested that central upper eyelid injections over the PTO should be avoided due to the risk of inducing a weakness in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levator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palpebrae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superioris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muscle and subsequent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, but the magnitude of that risk has not been well documented [</w:t>
      </w:r>
      <w:hyperlink r:id="rId13" w:anchor="ref2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2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, </w:t>
      </w:r>
      <w:hyperlink r:id="rId14" w:anchor="ref4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4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, </w:t>
      </w:r>
      <w:hyperlink r:id="rId15" w:anchor="ref6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6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-</w:t>
      </w:r>
      <w:hyperlink r:id="rId16" w:anchor="ref11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11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].</w:t>
      </w:r>
      <w:proofErr w:type="gramEnd"/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Many BEB patients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have been referred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to the authors' practices as "non-responders" 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injections, and the majority of these patients have turned out to have either pure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or a combination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and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. A 62-month retrospective chart review of two oculoplastic practices, John R Burroughs M.D., P.C. (JRB) and Plastic Eye Surgery Associates, PLLC (CNSS), was conducted searching for patients with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managed with central eyelid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 in order to quantify the incidence of post-injection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hyperlink r:id="rId17" w:tgtFrame="_blank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[</w:t>
        </w:r>
        <w:proofErr w:type="gramStart"/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enlarge</w:t>
        </w:r>
        <w:proofErr w:type="gramEnd"/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]</w:t>
        </w:r>
      </w:hyperlink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6384D307" wp14:editId="695D55F4">
            <wp:extent cx="5600700" cy="4175760"/>
            <wp:effectExtent l="0" t="0" r="0" b="0"/>
            <wp:docPr id="2" name="Picture 2" descr="Safety of Pretarsal Botulinum Toxin for Blepharospasm Associated Pseudo-apraxia: Is Ptosis a Real Concern?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of Pretarsal Botulinum Toxin for Blepharospasm Associated Pseudo-apraxia: Is Ptosis a Real Concern? fig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Figure 1.</w: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 Centro-lateral injection. Note very superficial supra-orbicularis plane placement of the 32-gauge needle and creation of wheal to avoid bruising and over-dissemination. Arrows show additional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lateral, central,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centro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-medial, and medial injection sites.</w:t>
      </w:r>
    </w:p>
    <w:p w:rsidR="002D4DC5" w:rsidRPr="002D4DC5" w:rsidRDefault="002D4DC5" w:rsidP="002D4DC5">
      <w:pPr>
        <w:spacing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Material and Methods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One hundred units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onabotulinumtoxinA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(Allergan, Inc., Irvine, CA, USA) were re-constituted either with 2.5 cc (JRB) or 1 cc (CNSS) of preserved normal saline and injected using a skin pinch technique with a 30 or 32 gauge needle and a 1 cc syringe. No pretreatment with anesthetic or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cryoanalgesia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was performed [</w:t>
      </w:r>
      <w:hyperlink r:id="rId19" w:anchor="ref12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12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]. The PTO injections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were placed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just below the epidermis within two millimeters of the eyelash line to minimize the risk of hitting the superior marginal arcade (Fig 1). The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 number and doses were individualized and altered based upon the injector's observations and the patient's reported results. Typical areas of injection included medial,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centro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-medial, central,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centro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-lateral, and lateral portions of the PTO (Fig 1). JRB injected up to five areas in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area, generally starting at only three (medial, central, and lateral), whereas CNSS generally performed only two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 (medial and lateral), but would broaden the area of treatment across the entire eyelid by advancing the needle under the skin before injecting. All patients had post-treatment evaluations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either by office-visit or telephone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evaluation assessing whether or not symptoms improved and if any complications (e.g.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) occurred. Billing records were searched for patients billed for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chemodenervation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(CPT code 64612 for ICD.9 code 333.81), and charts were then manually examined to include only patients being treated for pseudo-apraxia of eyelid opening with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injections. Informed consent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was obtained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for chart study from each of the subjects in accordance with Health Insurance Portability and Accountability Act regulations, and the principles outlined in the Declaration of Helsinki were followed.</w:t>
      </w:r>
    </w:p>
    <w:p w:rsidR="002D4DC5" w:rsidRPr="002D4DC5" w:rsidRDefault="002D4DC5" w:rsidP="002D4DC5">
      <w:pPr>
        <w:spacing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Results and Discussion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The retrospective chart review revealed 61 patients who received 634 BTX treatments over a 62-month period. Patients received an average of 5.2 units (range 1.25-15 units) of PTO BTX injected per eyelid in divided doses, depending on the observed and subjective severity of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, to the medial,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centro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-medial, central,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centro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-lateral, and lateral portions of the PTO. Every study patient described significant improvement of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symptoms following the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injections.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Overall, in these 61 patients with 634 treatments over five years, there were only six incidences (0.95%)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, each in a different patient.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These six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patients who developed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each had received a dose (range 2.5-7.5) within the average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range. One episode of new-onset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occurred in a patient who developed significant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ecchymosis.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resolved after three weeks and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was improved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before spontaneous resolution with 0.1%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brimonidine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eye drops (Allergan, Inc, Irvine CA, USA). Similarly, another patient, who was on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clopidrogel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bisulfate and aspirin, developed a large hematoma with presumed toxin spread. Another case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was attributed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to a sub-brow injection used to elevate the eyebrow, which developed a hematoma and presumed toxin spread. Of the remaining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3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patients, pre-existing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was exacerbated by the toxin injections. In all three of these cases, after surgical repair of the pre-existing degree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, there were no further episodes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induced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The clinical descriptions and management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 the medical literature remains somewhat unclear with concerns that central upper eyelid injections significantly increase the risk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[</w:t>
      </w:r>
      <w:hyperlink r:id="rId20" w:anchor="ref2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2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]. Few studies actually describe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for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[</w:t>
      </w:r>
      <w:hyperlink r:id="rId21" w:anchor="ref4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4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, </w:t>
      </w:r>
      <w:hyperlink r:id="rId22" w:anchor="ref13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13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-</w:t>
      </w:r>
      <w:hyperlink r:id="rId23" w:anchor="ref16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16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Georgescu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et al. and Newman et al. suggest that many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failures for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are attributable 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being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overlooked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or incompletely addressed [</w:t>
      </w:r>
      <w:hyperlink r:id="rId24" w:anchor="ref2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2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, </w:t>
      </w:r>
      <w:hyperlink r:id="rId25" w:anchor="ref17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17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Cakmur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et al. reported increased success for both response rate and duration of reduced spasm effect when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was placed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for “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and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hemifacial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spasm patients” [</w:t>
      </w:r>
      <w:hyperlink r:id="rId26" w:anchor="ref18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18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].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Herein, we provide the largest specific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treatment series for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and found only a 0.95% incidence of induced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. We attribute this low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risk to the described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 technique of placement just below the skin in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supraorbicularis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plane in the safety zone between the superior marginal arcade and the eyelash line.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Krack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and Marion reported when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obobotulinumtoxinA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Porton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Products, UK)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was injected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into the upper eyelids, there was improvement in all 32 of their “focal eyelid dystonia” patients with no incidence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[</w:t>
      </w:r>
      <w:hyperlink r:id="rId27" w:anchor="ref4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4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]. Similarly,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Defazio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et al. had improvement in 8/10 “isolated So-Called Apraxia of Eyelid Opening” patients with a no incidence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when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was injected to the PTO [</w:t>
      </w:r>
      <w:hyperlink r:id="rId28" w:anchor="ref8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8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]. Liao and Woodward advocate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 for all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patients, regardless of presence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, and noted only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2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cases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 23 patients receiving 257 injections (0.17%) over ten years [</w:t>
      </w:r>
      <w:hyperlink r:id="rId29" w:anchor="ref19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19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]. Huang et al. report that there was a 1% incidence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encountered for 88 patients receiving a total of 300 injections to the central upper eyelid and/or central eyebrow for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(176 procedures),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hemifacial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spasm (40 procedures), facial nerve disorders (nine procedures), and facial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rhytides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/eyebrow ptosis (75 procedures) [</w:t>
      </w:r>
      <w:hyperlink r:id="rId30" w:anchor="ref20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20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]. These low reported incidences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seen following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 compare very favorably to the rate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of 1.8% in a large meta-analysis by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Brin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et al. of cosmetic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for facial lines [</w:t>
      </w:r>
      <w:hyperlink r:id="rId31" w:anchor="ref21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21</w:t>
        </w:r>
      </w:hyperlink>
      <w:r w:rsidRPr="002D4DC5">
        <w:rPr>
          <w:rFonts w:ascii="Arial" w:eastAsia="Times New Roman" w:hAnsi="Arial" w:cs="Arial"/>
          <w:color w:val="333333"/>
          <w:sz w:val="24"/>
          <w:szCs w:val="24"/>
        </w:rPr>
        <w:t>].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When cardiovascular disease risk is minimal, we recommend discontinuing blood-thinning agents such as aspirin for at least several days before injections to lessen the chance for ecchymosis, which could cause unwanted wider dissemination of the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. However, we routinely inject patients taking aspirin or other anticoagulants when needed.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were found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to be generally effective for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with a low risk for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D4DC5" w:rsidRPr="002D4DC5" w:rsidRDefault="002D4DC5" w:rsidP="002D4DC5">
      <w:pPr>
        <w:spacing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Conclusions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Despite the limitations of a retrospective review, our study provided the largest series of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 used in the management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demonstrating a low incidence (&lt;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1%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) of temporary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. Furthermore, managing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from a medical approach with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may be able to delay potentially more risky surgical intervention (e.g., frontalis suspension,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myectomy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) not readily available or desired by patients in areas lacking subspecialty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oculofacial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plastic surgeons. Patients with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paBEB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and pre-existent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, should consider having any medically necessary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surgically corrected, and advised that PTO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BoTx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placement may worsen their pre-existent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blepharoptosis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D4DC5" w:rsidRPr="002D4DC5" w:rsidRDefault="002D4DC5" w:rsidP="002D4DC5">
      <w:pPr>
        <w:spacing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Declarations</w:t>
      </w:r>
    </w:p>
    <w:p w:rsidR="002D4DC5" w:rsidRPr="002D4DC5" w:rsidRDefault="002D4DC5" w:rsidP="002D4DC5">
      <w:pPr>
        <w:spacing w:line="225" w:lineRule="atLeast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Conflict of interest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John D. McCann, M.D., Ph.D.: Ongoing consultant/honoraria fees from Allergan; otherwise no proprietary interests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Received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no support for this study. James Hsueh: </w: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lastRenderedPageBreak/>
        <w:t>Employed by John R Burroughs M.D., P.C. “The authors declare no other conflicts of interest”.</w:t>
      </w:r>
    </w:p>
    <w:p w:rsidR="002D4DC5" w:rsidRPr="002D4DC5" w:rsidRDefault="002D4DC5" w:rsidP="002D4DC5">
      <w:pPr>
        <w:spacing w:line="225" w:lineRule="atLeast"/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Acknowledgments</w:t>
      </w:r>
    </w:p>
    <w:p w:rsidR="002D4DC5" w:rsidRPr="002D4DC5" w:rsidRDefault="002D4DC5" w:rsidP="002D4DC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Portions of this study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were presented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at the American Society of Ophthalmic Plastic and Reconstructive Surgery 2012 meeting,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Tuscon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, AZ. A portion of this study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was discussed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 a letter to the editor of Ophthalmic Plastic Reconstructive Surgery Journal (2015, In Press).</w:t>
      </w:r>
    </w:p>
    <w:p w:rsidR="002D4DC5" w:rsidRPr="002D4DC5" w:rsidRDefault="002D4DC5" w:rsidP="002D4DC5">
      <w:pPr>
        <w:jc w:val="lef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333333"/>
          <w:sz w:val="24"/>
          <w:szCs w:val="24"/>
        </w:rPr>
        <w:t>References</w:t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Ross A,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Elston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J, Marion M, Malhotra R. Review and update of involuntary facial movement disorders presenting in the ophthalmological setting.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Surv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Ophthalmol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 2011;56:54-67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"http://www.ncbi.nlm.nih.gov/pubmed/21093885" \o "NCBI pubmed 21093885"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32" w:tgtFrame="_blank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publisher</w:t>
        </w:r>
      </w:hyperlink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Georgescu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D,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Vagefi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M, McMullan T, McCann J, Anderson R. Upper eyelid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myectomy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with associated apraxia of lid opening. Am J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Ophthalmol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 2008;145:541-547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"http://www.ncbi.nlm.nih.gov/pubmed/18191096" \o "NCBI pubmed 18191096"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33" w:tgtFrame="_blank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publisher</w:t>
        </w:r>
      </w:hyperlink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Kerty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E,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Eidal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K. Apraxia of eyelid opening: clinical features and therapy.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Eur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J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Ophthalmol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 2006;16:204-8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"http://www.ncbi.nlm.nih.gov/pubmed/16703535" \o "NCBI pubmed 16703535"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Krack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P, Marion M. "Apraxia of lid opening," a focal eyelid dystonia: clinical study of 32 patients.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Mov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Disord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 1994;9:610-5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"http://www.ncbi.nlm.nih.gov/pubmed/7845400" \o "NCBI pubmed 7845400"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Elston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J. A new variant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. J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Neurol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Neurosurg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Psychiatry. 1992;55:369-71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"http://www.ncbi.nlm.nih.gov/pubmed/1602309" \o "NCBI pubmed 1602309"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Dutton J, Fowler A. Botulinum toxin in ophthalmology.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Surv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Ophthalmol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 2007;52:13-31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"http://www.ncbi.nlm.nih.gov/pubmed/17212988" \o "NCBI pubmed 17212988"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Boghen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D,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Tozlovanu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V,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Iancu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A, Forget R. Botulinum toxin therapy for apraxia of lid opening. Ann N Y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Acad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Sci. 2002;956:482-3</w:t>
      </w:r>
      <w:hyperlink r:id="rId34" w:tgtFrame="_blank" w:tooltip="NCBI pubmed 11960846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pubmed</w:t>
        </w:r>
      </w:hyperlink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Defazio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G,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Livrea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Lamberti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P, De Salvia R,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Laddomada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G,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Giorelli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M, </w:t>
      </w:r>
      <w:r w:rsidRPr="002D4DC5">
        <w:rPr>
          <w:rFonts w:ascii="Arial" w:eastAsia="Times New Roman" w:hAnsi="Arial" w:cs="Arial"/>
          <w:i/>
          <w:iCs/>
          <w:color w:val="333333"/>
          <w:sz w:val="24"/>
          <w:szCs w:val="24"/>
        </w:rPr>
        <w:t>et al</w: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. Isolated so-called apraxia of eyelid opening: report of 10 cases and a review of the literature.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Eur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Neurol. 1998;39:204-10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"http://www.ncbi.nlm.nih.gov/pubmed/9635470" \o "NCBI pubmed 9635470"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Piccione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F, Mancini E,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Tonin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Bizzarini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M. Botulinum toxin treatment of apraxia of eyelid opening in progressive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supranuclear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palsy: report of two cases. Arch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Phys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Med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Rehabil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 1997;78:525-9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"http://www.ncbi.nlm.nih.gov/pubmed/9161374" \o "NCBI pubmed 9161374"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Dutton J, Buckley E. Long-term results and complications of botulinum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toxin in the treatment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 Ophthalmology. 1988;95:1529-34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"http://www.ncbi.nlm.nih.gov/pubmed/3211461" \o "NCBI pubmed 3211461"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Dutton J. Botulinum-A toxin in the treatment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craniocervical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muscle spasms: short- and long-term, local and systemic effects.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Surv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Ophthalmol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 1996;41:51-65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"http://www.ncbi.nlm.nih.gov/pubmed/8827930" \o "NCBI pubmed 8827930"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Sami M, Soparkar C,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Patrinely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J,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Hollier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L,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Hollier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L. Efficacy of botulinum toxin type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after topical anesthesia.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Ophthal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Plast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Reconstr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Surg. 2006;22:448-52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"http://www.ncbi.nlm.nih.gov/pubmed/17117100" \o "NCBI pubmed 17117100"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Forget R,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Tozlovanu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V,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Iancu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Boghen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D. Botulinum toxin improves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lid opening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delays in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-associated apraxia of lid opening. Neurology. 2002;58:1843-6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"http://www.ncbi.nlm.nih.gov/pubmed/12084888" \o "NCBI pubmed 12084888"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Aramideh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Ongerboer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de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Visser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B, Brans J,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Koelman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J,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Speelman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J.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application of botulinum toxin for treatment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. J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Neurol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Neurosurg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Psychiatry. 1995;59:309-11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"http://www.ncbi.nlm.nih.gov/pubmed/7673963" \o "NCBI pubmed 7673963"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Inoue K, Rogers J. Botulinum toxin injection into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Riolan's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muscle: somatosensory 'trick'.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Eur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Neurol. 2007;58:138-41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"http://www.ncbi.nlm.nih.gov/pubmed/17622718" \o "NCBI pubmed 17622718"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Jankovic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J.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 of botulinum toxin for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and apraxia of eyelid opening. J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Neurol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Neurosurg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Psychiatry. 1996;60:704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"http://www.ncbi.nlm.nih.gov/pubmed/8648354" \o "NCBI pubmed 8648354"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Newman SA,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Slavin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M, Phillips L. Apraxia of eyelid opening a cause of botulinum failure. Paper presented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at: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The North American Neuro-Ophthalmology Society; 1988; Crested Butte, Colorado.</w:t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Cakmur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R,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Ozturk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V,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Uzunel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F,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Donmez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B,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Idiman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F. Comparison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preseptal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and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injections of botulinum toxin in the treatment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and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hemifacial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spasm. J Neurol. 2002;249:64-8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"http://www.ncbi.nlm.nih.gov/pubmed/11954870" \o "NCBI pubmed 11954870"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Liao J, Woodward JA. The incidence of ptosis in central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pretarsal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botulinum toxin injection for benign essential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blepharospasm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. Poster presented </w:t>
      </w: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at: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American Society of Ophthalmic Plastic and Reconstructive Surgery Fall Scientific Symposium; 2011; Orlando, Florida.</w:t>
      </w:r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Huang L,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Costin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B,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Sakolsatayadorn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N, Perry J. Safety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onabotulinum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toxin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injection to the central upper eyelid and eyebrow regions.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Ophthal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Plast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Reconstr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Surg. 2014;30:377-80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"http://www.ncbi.nlm.nih.gov/pubmed/24777259" \o "NCBI pubmed 24777259"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35" w:tgtFrame="_blank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publisher</w:t>
        </w:r>
      </w:hyperlink>
    </w:p>
    <w:p w:rsidR="002D4DC5" w:rsidRPr="002D4DC5" w:rsidRDefault="002D4DC5" w:rsidP="002D4DC5">
      <w:pPr>
        <w:numPr>
          <w:ilvl w:val="0"/>
          <w:numId w:val="1"/>
        </w:numPr>
        <w:ind w:left="225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Brin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M,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Boodhoo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T,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Pogoda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J, James L, Demos G,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Terashima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Y, </w:t>
      </w:r>
      <w:r w:rsidRPr="002D4DC5">
        <w:rPr>
          <w:rFonts w:ascii="Arial" w:eastAsia="Times New Roman" w:hAnsi="Arial" w:cs="Arial"/>
          <w:i/>
          <w:iCs/>
          <w:color w:val="333333"/>
          <w:sz w:val="24"/>
          <w:szCs w:val="24"/>
        </w:rPr>
        <w:t>et al</w: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. Safety and tolerability of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onabotulinumtoxinA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in the treatment of facial lines: a meta-analysis of individual patient data from global clinical registration studies in 1678 participants. J Am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Acad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Dermatol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t>. 2009;61:961-70.e1-11 </w:t>
      </w:r>
      <w:proofErr w:type="spellStart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"http://www.ncbi.nlm.nih.gov/pubmed/19744746" \o "NCBI pubmed 19744746" \t "_blank" </w:instrText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2D4DC5">
        <w:rPr>
          <w:rFonts w:ascii="Arial" w:eastAsia="Times New Roman" w:hAnsi="Arial" w:cs="Arial"/>
          <w:color w:val="663399"/>
          <w:sz w:val="24"/>
          <w:szCs w:val="24"/>
          <w:u w:val="single"/>
        </w:rPr>
        <w:t>pubmed</w:t>
      </w:r>
      <w:proofErr w:type="spellEnd"/>
      <w:r w:rsidRPr="002D4DC5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2D4DC5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36" w:tgtFrame="_blank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publisher</w:t>
        </w:r>
      </w:hyperlink>
    </w:p>
    <w:p w:rsidR="002D4DC5" w:rsidRPr="002D4DC5" w:rsidRDefault="002D4DC5" w:rsidP="002D4DC5">
      <w:pPr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2D4DC5">
        <w:rPr>
          <w:rFonts w:ascii="Arial" w:eastAsia="Times New Roman" w:hAnsi="Arial" w:cs="Arial"/>
          <w:color w:val="333333"/>
          <w:sz w:val="24"/>
          <w:szCs w:val="24"/>
        </w:rPr>
        <w:t>ISSN :</w:t>
      </w:r>
      <w:proofErr w:type="gramEnd"/>
      <w:r w:rsidRPr="002D4DC5">
        <w:rPr>
          <w:rFonts w:ascii="Arial" w:eastAsia="Times New Roman" w:hAnsi="Arial" w:cs="Arial"/>
          <w:color w:val="333333"/>
          <w:sz w:val="24"/>
          <w:szCs w:val="24"/>
        </w:rPr>
        <w:t xml:space="preserve"> 2334-1009</w:t>
      </w:r>
    </w:p>
    <w:p w:rsidR="002D4DC5" w:rsidRPr="002D4DC5" w:rsidRDefault="002D4DC5" w:rsidP="002D4DC5">
      <w:pPr>
        <w:shd w:val="clear" w:color="auto" w:fill="F7F7F7"/>
        <w:jc w:val="left"/>
        <w:rPr>
          <w:rFonts w:ascii="Arial" w:eastAsia="Times New Roman" w:hAnsi="Arial" w:cs="Arial"/>
          <w:b/>
          <w:bCs/>
          <w:color w:val="20396C"/>
          <w:sz w:val="24"/>
          <w:szCs w:val="24"/>
        </w:rPr>
      </w:pPr>
      <w:r w:rsidRPr="002D4DC5">
        <w:rPr>
          <w:rFonts w:ascii="Arial" w:eastAsia="Times New Roman" w:hAnsi="Arial" w:cs="Arial"/>
          <w:b/>
          <w:bCs/>
          <w:color w:val="20396C"/>
          <w:sz w:val="24"/>
          <w:szCs w:val="24"/>
        </w:rPr>
        <w:t>Topics</w:t>
      </w:r>
    </w:p>
    <w:p w:rsidR="002D4DC5" w:rsidRPr="002D4DC5" w:rsidRDefault="002D4DC5" w:rsidP="002D4DC5">
      <w:pPr>
        <w:numPr>
          <w:ilvl w:val="0"/>
          <w:numId w:val="2"/>
        </w:numPr>
        <w:shd w:val="clear" w:color="auto" w:fill="FFFFFF"/>
        <w:ind w:left="75" w:hanging="150"/>
        <w:jc w:val="left"/>
        <w:rPr>
          <w:rFonts w:ascii="Arial" w:eastAsia="Times New Roman" w:hAnsi="Arial" w:cs="Arial"/>
          <w:color w:val="333333"/>
          <w:sz w:val="24"/>
          <w:szCs w:val="24"/>
        </w:rPr>
      </w:pPr>
    </w:p>
    <w:p w:rsidR="002D4DC5" w:rsidRPr="002D4DC5" w:rsidRDefault="002D4DC5" w:rsidP="002D4DC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5" w:hanging="150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hyperlink r:id="rId37" w:history="1"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botulinum toxin type a</w:t>
        </w:r>
      </w:hyperlink>
    </w:p>
    <w:p w:rsidR="002D4DC5" w:rsidRPr="002D4DC5" w:rsidRDefault="002D4DC5" w:rsidP="002D4DC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5" w:hanging="150"/>
        <w:jc w:val="left"/>
        <w:rPr>
          <w:rFonts w:ascii="Arial" w:eastAsia="Times New Roman" w:hAnsi="Arial" w:cs="Arial"/>
          <w:color w:val="333333"/>
          <w:sz w:val="24"/>
          <w:szCs w:val="24"/>
        </w:rPr>
      </w:pPr>
      <w:hyperlink r:id="rId38" w:history="1">
        <w:proofErr w:type="spellStart"/>
        <w:r w:rsidRPr="002D4DC5">
          <w:rPr>
            <w:rFonts w:ascii="Arial" w:eastAsia="Times New Roman" w:hAnsi="Arial" w:cs="Arial"/>
            <w:color w:val="663399"/>
            <w:sz w:val="24"/>
            <w:szCs w:val="24"/>
            <w:u w:val="single"/>
          </w:rPr>
          <w:t>blepharospasm</w:t>
        </w:r>
        <w:proofErr w:type="spellEnd"/>
      </w:hyperlink>
    </w:p>
    <w:p w:rsidR="002D4DC5" w:rsidRPr="002D4DC5" w:rsidRDefault="002D4DC5" w:rsidP="002D4DC5">
      <w:pPr>
        <w:shd w:val="clear" w:color="auto" w:fill="E0E0E0"/>
        <w:spacing w:line="0" w:lineRule="atLeast"/>
        <w:rPr>
          <w:rFonts w:ascii="Arial" w:eastAsia="Times New Roman" w:hAnsi="Arial" w:cs="Arial"/>
          <w:color w:val="333333"/>
          <w:sz w:val="2"/>
          <w:szCs w:val="2"/>
        </w:rPr>
      </w:pPr>
      <w:r w:rsidRPr="002D4DC5">
        <w:rPr>
          <w:rFonts w:ascii="Arial" w:eastAsia="Times New Roman" w:hAnsi="Arial" w:cs="Arial"/>
          <w:color w:val="333333"/>
          <w:sz w:val="2"/>
          <w:szCs w:val="2"/>
        </w:rPr>
        <w:t> </w:t>
      </w:r>
    </w:p>
    <w:p w:rsidR="00FD32C8" w:rsidRDefault="00FD32C8"/>
    <w:sectPr w:rsidR="00FD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967"/>
    <w:multiLevelType w:val="multilevel"/>
    <w:tmpl w:val="6D7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72BAE"/>
    <w:multiLevelType w:val="multilevel"/>
    <w:tmpl w:val="E5B2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C5"/>
    <w:rsid w:val="002D4DC5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96979-F4B1-4CA7-A4DA-2CD57E40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629">
          <w:marLeft w:val="0"/>
          <w:marRight w:val="0"/>
          <w:marTop w:val="0"/>
          <w:marBottom w:val="0"/>
          <w:divBdr>
            <w:top w:val="single" w:sz="2" w:space="0" w:color="20396C"/>
            <w:left w:val="single" w:sz="2" w:space="0" w:color="20396C"/>
            <w:bottom w:val="single" w:sz="2" w:space="0" w:color="20396C"/>
            <w:right w:val="single" w:sz="2" w:space="0" w:color="20396C"/>
          </w:divBdr>
          <w:divsChild>
            <w:div w:id="603614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5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04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8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40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5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9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8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04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2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8188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15730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46461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40298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16910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73038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94179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73683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4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4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6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4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2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74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01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5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4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4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2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7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4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2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1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9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1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8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1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9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32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5479">
                          <w:marLeft w:val="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54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10734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721471">
          <w:marLeft w:val="150"/>
          <w:marRight w:val="15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ome.org/research/Safety-of-Pretarsal-Botulinum-Toxin-for-Blepharospasm-Associated-Pseudo-apraxia-Is-Ptosis-a-Real-Con.html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labome.org/research/Safety-of-Pretarsal-Botulinum-Toxin-for-Blepharospasm-Associated-Pseudo-apraxia-Is-Ptosis-a-Real-Con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labome.org/research/Safety-of-Pretarsal-Botulinum-Toxin-for-Blepharospasm-Associated-Pseudo-apraxia-Is-Ptosis-a-Real-Con.html" TargetMode="External"/><Relationship Id="rId34" Type="http://schemas.openxmlformats.org/officeDocument/2006/relationships/hyperlink" Target="http://www.ncbi.nlm.nih.gov/pubmed/11960846" TargetMode="External"/><Relationship Id="rId7" Type="http://schemas.openxmlformats.org/officeDocument/2006/relationships/hyperlink" Target="http://creativecommons.org/licenses/by/3.0/deed.en" TargetMode="External"/><Relationship Id="rId12" Type="http://schemas.openxmlformats.org/officeDocument/2006/relationships/hyperlink" Target="http://www.labome.org/research/Safety-of-Pretarsal-Botulinum-Toxin-for-Blepharospasm-Associated-Pseudo-apraxia-Is-Ptosis-a-Real-Con.html" TargetMode="External"/><Relationship Id="rId17" Type="http://schemas.openxmlformats.org/officeDocument/2006/relationships/hyperlink" Target="http://aws.labome.com/figure/te-1390-1.png" TargetMode="External"/><Relationship Id="rId25" Type="http://schemas.openxmlformats.org/officeDocument/2006/relationships/hyperlink" Target="http://www.labome.org/research/Safety-of-Pretarsal-Botulinum-Toxin-for-Blepharospasm-Associated-Pseudo-apraxia-Is-Ptosis-a-Real-Con.html" TargetMode="External"/><Relationship Id="rId33" Type="http://schemas.openxmlformats.org/officeDocument/2006/relationships/hyperlink" Target="http://dx.doi.org/10.1016/j.ajo.2007.10.017" TargetMode="External"/><Relationship Id="rId38" Type="http://schemas.openxmlformats.org/officeDocument/2006/relationships/hyperlink" Target="http://www.labome.org/topics/diseases/eye/eyelid/blepharospasm-73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ome.org/research/Safety-of-Pretarsal-Botulinum-Toxin-for-Blepharospasm-Associated-Pseudo-apraxia-Is-Ptosis-a-Real-Con.html" TargetMode="External"/><Relationship Id="rId20" Type="http://schemas.openxmlformats.org/officeDocument/2006/relationships/hyperlink" Target="http://www.labome.org/research/Safety-of-Pretarsal-Botulinum-Toxin-for-Blepharospasm-Associated-Pseudo-apraxia-Is-Ptosis-a-Real-Con.html" TargetMode="External"/><Relationship Id="rId29" Type="http://schemas.openxmlformats.org/officeDocument/2006/relationships/hyperlink" Target="http://www.labome.org/research/Safety-of-Pretarsal-Botulinum-Toxin-for-Blepharospasm-Associated-Pseudo-apraxia-Is-Ptosis-a-Real-Con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abome.org/research/Safety-of-Pretarsal-Botulinum-Toxin-for-Blepharospasm-Associated-Pseudo-apraxia-Is-Ptosis-a-Real-Con.html" TargetMode="External"/><Relationship Id="rId24" Type="http://schemas.openxmlformats.org/officeDocument/2006/relationships/hyperlink" Target="http://www.labome.org/research/Safety-of-Pretarsal-Botulinum-Toxin-for-Blepharospasm-Associated-Pseudo-apraxia-Is-Ptosis-a-Real-Con.html" TargetMode="External"/><Relationship Id="rId32" Type="http://schemas.openxmlformats.org/officeDocument/2006/relationships/hyperlink" Target="http://dx.doi.org/10.1016/j.survophthal.2010.03.008" TargetMode="External"/><Relationship Id="rId37" Type="http://schemas.openxmlformats.org/officeDocument/2006/relationships/hyperlink" Target="http://www.labome.org/topics/chemicals/and/proteins/bacterial/botulinum/botulinum-toxin-type-a-15583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labome.org/" TargetMode="External"/><Relationship Id="rId15" Type="http://schemas.openxmlformats.org/officeDocument/2006/relationships/hyperlink" Target="http://www.labome.org/research/Safety-of-Pretarsal-Botulinum-Toxin-for-Blepharospasm-Associated-Pseudo-apraxia-Is-Ptosis-a-Real-Con.html" TargetMode="External"/><Relationship Id="rId23" Type="http://schemas.openxmlformats.org/officeDocument/2006/relationships/hyperlink" Target="http://www.labome.org/research/Safety-of-Pretarsal-Botulinum-Toxin-for-Blepharospasm-Associated-Pseudo-apraxia-Is-Ptosis-a-Real-Con.html" TargetMode="External"/><Relationship Id="rId28" Type="http://schemas.openxmlformats.org/officeDocument/2006/relationships/hyperlink" Target="http://www.labome.org/research/Safety-of-Pretarsal-Botulinum-Toxin-for-Blepharospasm-Associated-Pseudo-apraxia-Is-Ptosis-a-Real-Con.html" TargetMode="External"/><Relationship Id="rId36" Type="http://schemas.openxmlformats.org/officeDocument/2006/relationships/hyperlink" Target="http://dx.doi.org/10.1016/j.jaad.2009.06.040" TargetMode="External"/><Relationship Id="rId10" Type="http://schemas.openxmlformats.org/officeDocument/2006/relationships/hyperlink" Target="http://www.labome.org/research/Safety-of-Pretarsal-Botulinum-Toxin-for-Blepharospasm-Associated-Pseudo-apraxia-Is-Ptosis-a-Real-Con.html" TargetMode="External"/><Relationship Id="rId19" Type="http://schemas.openxmlformats.org/officeDocument/2006/relationships/hyperlink" Target="http://www.labome.org/research/Safety-of-Pretarsal-Botulinum-Toxin-for-Blepharospasm-Associated-Pseudo-apraxia-Is-Ptosis-a-Real-Con.html" TargetMode="External"/><Relationship Id="rId31" Type="http://schemas.openxmlformats.org/officeDocument/2006/relationships/hyperlink" Target="http://www.labome.org/research/Safety-of-Pretarsal-Botulinum-Toxin-for-Blepharospasm-Associated-Pseudo-apraxia-Is-Ptosis-a-Real-C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ome.org/research/Safety-of-Pretarsal-Botulinum-Toxin-for-Blepharospasm-Associated-Pseudo-apraxia-Is-Ptosis-a-Real-Con.html" TargetMode="External"/><Relationship Id="rId14" Type="http://schemas.openxmlformats.org/officeDocument/2006/relationships/hyperlink" Target="http://www.labome.org/research/Safety-of-Pretarsal-Botulinum-Toxin-for-Blepharospasm-Associated-Pseudo-apraxia-Is-Ptosis-a-Real-Con.html" TargetMode="External"/><Relationship Id="rId22" Type="http://schemas.openxmlformats.org/officeDocument/2006/relationships/hyperlink" Target="http://www.labome.org/research/Safety-of-Pretarsal-Botulinum-Toxin-for-Blepharospasm-Associated-Pseudo-apraxia-Is-Ptosis-a-Real-Con.html" TargetMode="External"/><Relationship Id="rId27" Type="http://schemas.openxmlformats.org/officeDocument/2006/relationships/hyperlink" Target="http://www.labome.org/research/Safety-of-Pretarsal-Botulinum-Toxin-for-Blepharospasm-Associated-Pseudo-apraxia-Is-Ptosis-a-Real-Con.html" TargetMode="External"/><Relationship Id="rId30" Type="http://schemas.openxmlformats.org/officeDocument/2006/relationships/hyperlink" Target="http://www.labome.org/research/Safety-of-Pretarsal-Botulinum-Toxin-for-Blepharospasm-Associated-Pseudo-apraxia-Is-Ptosis-a-Real-Con.html" TargetMode="External"/><Relationship Id="rId35" Type="http://schemas.openxmlformats.org/officeDocument/2006/relationships/hyperlink" Target="http://dx.doi.org/10.1097/IOP.0000000000000109" TargetMode="External"/><Relationship Id="rId8" Type="http://schemas.openxmlformats.org/officeDocument/2006/relationships/hyperlink" Target="http://www.labome.org/research/Safety-of-Pretarsal-Botulinum-Toxin-for-Blepharospasm-Associated-Pseudo-apraxia-Is-Ptosis-a-Real-Con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Hudgins</dc:creator>
  <cp:keywords/>
  <dc:description/>
  <cp:lastModifiedBy>Charlene Hudgins</cp:lastModifiedBy>
  <cp:revision>1</cp:revision>
  <dcterms:created xsi:type="dcterms:W3CDTF">2019-01-23T16:05:00Z</dcterms:created>
  <dcterms:modified xsi:type="dcterms:W3CDTF">2019-01-23T16:07:00Z</dcterms:modified>
</cp:coreProperties>
</file>